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4E" w:rsidRDefault="002A624E" w:rsidP="004D66C9">
      <w:pPr>
        <w:jc w:val="right"/>
      </w:pPr>
      <w:bookmarkStart w:id="0" w:name="_GoBack"/>
      <w:bookmarkEnd w:id="0"/>
      <w:r>
        <w:t>Приложение 2</w:t>
      </w:r>
    </w:p>
    <w:p w:rsidR="002A624E" w:rsidRDefault="002A624E" w:rsidP="002A624E">
      <w:pPr>
        <w:jc w:val="both"/>
        <w:rPr>
          <w:b/>
        </w:rPr>
      </w:pPr>
    </w:p>
    <w:p w:rsidR="0052608C" w:rsidRPr="0052608C" w:rsidRDefault="002A624E" w:rsidP="002A624E">
      <w:pPr>
        <w:jc w:val="both"/>
        <w:rPr>
          <w:b/>
        </w:rPr>
      </w:pPr>
      <w:r>
        <w:rPr>
          <w:b/>
        </w:rPr>
        <w:t>Разъяснения по вопросам реализации</w:t>
      </w:r>
      <w:r w:rsidRPr="0052608C">
        <w:rPr>
          <w:b/>
        </w:rPr>
        <w:t xml:space="preserve"> </w:t>
      </w:r>
      <w:r w:rsidR="0052608C" w:rsidRPr="0052608C">
        <w:rPr>
          <w:b/>
        </w:rPr>
        <w:t>Инструкции</w:t>
      </w:r>
      <w:r w:rsidR="00274EBA">
        <w:rPr>
          <w:b/>
        </w:rPr>
        <w:t xml:space="preserve"> о порядке действий работников учреждений образования, здравоохранения и сотрудников органов внутренних дел при выявлении факторов риска суицидальны</w:t>
      </w:r>
      <w:r>
        <w:rPr>
          <w:b/>
        </w:rPr>
        <w:t xml:space="preserve">х действий у несовершеннолетних, </w:t>
      </w:r>
      <w:r w:rsidRPr="002A624E">
        <w:t>утвержденной</w:t>
      </w:r>
      <w:r>
        <w:rPr>
          <w:b/>
        </w:rPr>
        <w:t xml:space="preserve"> </w:t>
      </w:r>
      <w:r w:rsidR="00274EBA" w:rsidRPr="00274EBA">
        <w:t>постановление</w:t>
      </w:r>
      <w:r>
        <w:t>м</w:t>
      </w:r>
      <w:r w:rsidR="00274EBA" w:rsidRPr="00274EBA">
        <w:t xml:space="preserve"> Министерства здравоохранения Республики Беларусь, Министерства</w:t>
      </w:r>
      <w:r w:rsidR="00274EBA">
        <w:t xml:space="preserve"> образования Республики Беларусь и Министерства Внутренних дел</w:t>
      </w:r>
      <w:r w:rsidR="00274EBA" w:rsidRPr="00274EBA">
        <w:t xml:space="preserve"> </w:t>
      </w:r>
      <w:r w:rsidR="00274EBA">
        <w:t xml:space="preserve">Республики </w:t>
      </w:r>
      <w:r>
        <w:t>Беларусь от 15.01.2019 № 7/5/13 (далее – Инструкция)</w:t>
      </w:r>
      <w:r w:rsidR="0052608C" w:rsidRPr="00274EBA">
        <w:t>.</w:t>
      </w:r>
    </w:p>
    <w:p w:rsidR="0052608C" w:rsidRDefault="0052608C" w:rsidP="0052608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6598"/>
      </w:tblGrid>
      <w:tr w:rsidR="00F13B5E" w:rsidTr="00FE401B">
        <w:tc>
          <w:tcPr>
            <w:tcW w:w="817" w:type="dxa"/>
          </w:tcPr>
          <w:p w:rsidR="00F13B5E" w:rsidRPr="00F13B5E" w:rsidRDefault="00F13B5E" w:rsidP="00F13B5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71" w:type="dxa"/>
          </w:tcPr>
          <w:p w:rsidR="00F13B5E" w:rsidRPr="00F13B5E" w:rsidRDefault="00F13B5E" w:rsidP="00F13B5E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6598" w:type="dxa"/>
          </w:tcPr>
          <w:p w:rsidR="00F13B5E" w:rsidRPr="00F13B5E" w:rsidRDefault="00F13B5E" w:rsidP="00F13B5E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1713DD" w:rsidTr="00FE401B">
        <w:tc>
          <w:tcPr>
            <w:tcW w:w="817" w:type="dxa"/>
          </w:tcPr>
          <w:p w:rsidR="001713DD" w:rsidRDefault="001713DD" w:rsidP="00E3079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371" w:type="dxa"/>
          </w:tcPr>
          <w:p w:rsidR="001713DD" w:rsidRDefault="00703A77" w:rsidP="0052608C">
            <w:pPr>
              <w:jc w:val="both"/>
            </w:pPr>
            <w:r>
              <w:t>При выявлении риска суицидального поведения родители не дают согласие на организацию работы с несовершеннолетним. Какие дальнейшие действия специалистов учреждений образования?</w:t>
            </w:r>
          </w:p>
        </w:tc>
        <w:tc>
          <w:tcPr>
            <w:tcW w:w="6598" w:type="dxa"/>
          </w:tcPr>
          <w:p w:rsidR="001713DD" w:rsidRDefault="000C0943" w:rsidP="0052608C">
            <w:pPr>
              <w:jc w:val="both"/>
            </w:pPr>
            <w:proofErr w:type="gramStart"/>
            <w:r>
              <w:t xml:space="preserve">Следует организовать разъяснительную работу с законными представителями о необходимости </w:t>
            </w:r>
            <w:r w:rsidR="002F26EC">
              <w:t>оказания психолого-педагогической помощи несовершеннолетнему,</w:t>
            </w:r>
            <w:r w:rsidR="00382A9B">
              <w:t xml:space="preserve"> ответственности родителей </w:t>
            </w:r>
            <w:r w:rsidR="002F26EC">
              <w:t xml:space="preserve"> </w:t>
            </w:r>
            <w:r w:rsidR="00382A9B">
              <w:t xml:space="preserve">за воспитание детей в соответствии с законодательством, вынести вопрос для рассмотрения на совете учреждения образования по профилактике безнадзорности и правонарушений несовершеннолетних, </w:t>
            </w:r>
            <w:r w:rsidR="002A624E">
              <w:t xml:space="preserve">в случае повторного отказа – </w:t>
            </w:r>
            <w:r w:rsidR="002F26EC">
              <w:t>рассмотреть возможность письменного ходатайства о приглашении родителей на заседание КДН</w:t>
            </w:r>
            <w:r w:rsidR="002A624E">
              <w:t xml:space="preserve"> для проведения профилактической работы, разъяснению ответственности за ненадлежащее воспитание детей</w:t>
            </w:r>
            <w:r w:rsidR="002F26EC">
              <w:t>.</w:t>
            </w:r>
            <w:proofErr w:type="gramEnd"/>
          </w:p>
        </w:tc>
      </w:tr>
      <w:tr w:rsidR="001713DD" w:rsidTr="00FE401B">
        <w:tc>
          <w:tcPr>
            <w:tcW w:w="817" w:type="dxa"/>
          </w:tcPr>
          <w:p w:rsidR="001713DD" w:rsidRDefault="001713DD" w:rsidP="00E3079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371" w:type="dxa"/>
          </w:tcPr>
          <w:p w:rsidR="00555A1A" w:rsidRDefault="00555A1A" w:rsidP="002A624E">
            <w:pPr>
              <w:jc w:val="both"/>
            </w:pPr>
            <w:r>
              <w:t xml:space="preserve">Будут ли изменения и дополнения в Положение о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бригаде?</w:t>
            </w:r>
          </w:p>
          <w:p w:rsidR="001713DD" w:rsidRDefault="002A624E" w:rsidP="002A624E">
            <w:pPr>
              <w:jc w:val="both"/>
            </w:pPr>
            <w:r>
              <w:lastRenderedPageBreak/>
              <w:t>Обязан ли</w:t>
            </w:r>
            <w:r w:rsidR="00703A77">
              <w:t xml:space="preserve"> родитель </w:t>
            </w:r>
            <w:r>
              <w:t>оформить отказ</w:t>
            </w:r>
            <w:r w:rsidR="00782E07">
              <w:t xml:space="preserve"> от организации работы с ребенком в рамках </w:t>
            </w:r>
            <w:proofErr w:type="spellStart"/>
            <w:r w:rsidR="00782E07">
              <w:t>мультидисциплинарной</w:t>
            </w:r>
            <w:proofErr w:type="spellEnd"/>
            <w:r w:rsidR="00782E07">
              <w:t xml:space="preserve"> бригады</w:t>
            </w:r>
            <w:r>
              <w:t xml:space="preserve"> письменно?</w:t>
            </w:r>
            <w:r w:rsidR="00703A77">
              <w:t xml:space="preserve"> Если да, то по какой форме?</w:t>
            </w:r>
          </w:p>
          <w:p w:rsidR="00555A1A" w:rsidRDefault="00555A1A" w:rsidP="002A624E">
            <w:pPr>
              <w:jc w:val="both"/>
            </w:pPr>
            <w:r>
              <w:t>Будет ли единый образец согласия законных представителей?</w:t>
            </w:r>
          </w:p>
          <w:p w:rsidR="00555A1A" w:rsidRDefault="00555A1A" w:rsidP="002A624E">
            <w:pPr>
              <w:jc w:val="both"/>
            </w:pPr>
            <w:proofErr w:type="gramStart"/>
            <w:r>
              <w:t>Передачу</w:t>
            </w:r>
            <w:proofErr w:type="gramEnd"/>
            <w:r>
              <w:t xml:space="preserve"> каких документов необходимо обеспечить в случае перевода несовершеннолетнего из одного учреждения образования в другое?</w:t>
            </w:r>
          </w:p>
        </w:tc>
        <w:tc>
          <w:tcPr>
            <w:tcW w:w="6598" w:type="dxa"/>
          </w:tcPr>
          <w:p w:rsidR="00555A1A" w:rsidRDefault="00555A1A" w:rsidP="0052608C">
            <w:pPr>
              <w:jc w:val="both"/>
            </w:pPr>
            <w:r>
              <w:lastRenderedPageBreak/>
              <w:t xml:space="preserve">Положение о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бригад</w:t>
            </w:r>
            <w:r w:rsidR="00782E07">
              <w:t>е актуализировано, направлено для утверждения</w:t>
            </w:r>
            <w:r>
              <w:t xml:space="preserve"> в </w:t>
            </w:r>
            <w:r>
              <w:lastRenderedPageBreak/>
              <w:t>главное управление образования Гродненского областного исполнительного комитета.</w:t>
            </w:r>
          </w:p>
          <w:p w:rsidR="00BA1F0A" w:rsidRDefault="00BA1F0A" w:rsidP="0052608C">
            <w:pPr>
              <w:jc w:val="both"/>
            </w:pPr>
            <w:r>
              <w:t xml:space="preserve">Единый образец согласия законных представителей предложен в обновленном Положении о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бригаде.</w:t>
            </w:r>
          </w:p>
          <w:p w:rsidR="001713DD" w:rsidRDefault="00BA1F0A" w:rsidP="0052608C">
            <w:pPr>
              <w:jc w:val="both"/>
            </w:pPr>
            <w:r>
              <w:t xml:space="preserve">Перечень документов, которые необходимо </w:t>
            </w:r>
            <w:proofErr w:type="gramStart"/>
            <w:r>
              <w:t>передавать из одного учреждения в другое указан</w:t>
            </w:r>
            <w:proofErr w:type="gramEnd"/>
            <w:r>
              <w:t xml:space="preserve"> в обновленном Положении о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бригаде.</w:t>
            </w:r>
          </w:p>
        </w:tc>
      </w:tr>
      <w:tr w:rsidR="001713DD" w:rsidTr="00FE401B">
        <w:tc>
          <w:tcPr>
            <w:tcW w:w="817" w:type="dxa"/>
          </w:tcPr>
          <w:p w:rsidR="001713DD" w:rsidRDefault="001713DD" w:rsidP="00E3079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371" w:type="dxa"/>
          </w:tcPr>
          <w:p w:rsidR="001713DD" w:rsidRDefault="00703A77" w:rsidP="000C0943">
            <w:pPr>
              <w:jc w:val="both"/>
            </w:pPr>
            <w:r>
              <w:t>Если законный представитель не дает согласие на работу с несовершеннолетним, то учреждение образования имеет право п</w:t>
            </w:r>
            <w:r w:rsidR="000C0943">
              <w:t>ригласить его на заседание КДН</w:t>
            </w:r>
            <w:proofErr w:type="gramStart"/>
            <w:r w:rsidR="000C0943">
              <w:t xml:space="preserve"> </w:t>
            </w:r>
            <w:r>
              <w:t>?</w:t>
            </w:r>
            <w:proofErr w:type="gramEnd"/>
          </w:p>
        </w:tc>
        <w:tc>
          <w:tcPr>
            <w:tcW w:w="6598" w:type="dxa"/>
          </w:tcPr>
          <w:p w:rsidR="001713DD" w:rsidRPr="000C0943" w:rsidRDefault="000C0943" w:rsidP="0052608C">
            <w:pPr>
              <w:jc w:val="both"/>
            </w:pPr>
            <w:r>
              <w:t xml:space="preserve">В пункте 10 </w:t>
            </w:r>
            <w:r w:rsidRPr="000C0943">
              <w:t>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      </w:r>
            <w:r>
              <w:t xml:space="preserve"> предусмотрена возможность письменного ходатайства о приглашении родителей на заседание КДН.</w:t>
            </w:r>
          </w:p>
        </w:tc>
      </w:tr>
      <w:tr w:rsidR="001713DD" w:rsidTr="00FE401B">
        <w:tc>
          <w:tcPr>
            <w:tcW w:w="817" w:type="dxa"/>
          </w:tcPr>
          <w:p w:rsidR="001713DD" w:rsidRDefault="001713DD" w:rsidP="00E3079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371" w:type="dxa"/>
          </w:tcPr>
          <w:p w:rsidR="001713DD" w:rsidRDefault="00703A77" w:rsidP="0052608C">
            <w:pPr>
              <w:jc w:val="both"/>
            </w:pPr>
            <w:r w:rsidRPr="00941748">
              <w:rPr>
                <w:szCs w:val="30"/>
              </w:rPr>
              <w:t>Правильно ли, что в согласии на предоставление информации законный представитель указывает свой идентификационный номер паспорта и указывает, что дает согласие на обработку своих персональных данных (в соответствии с пунктом 9 Инструкции)</w:t>
            </w:r>
            <w:r>
              <w:rPr>
                <w:szCs w:val="30"/>
              </w:rPr>
              <w:t>?</w:t>
            </w:r>
          </w:p>
        </w:tc>
        <w:tc>
          <w:tcPr>
            <w:tcW w:w="6598" w:type="dxa"/>
          </w:tcPr>
          <w:p w:rsidR="00703A77" w:rsidRPr="00703A77" w:rsidRDefault="00703A77" w:rsidP="00703A77">
            <w:pPr>
              <w:jc w:val="both"/>
            </w:pPr>
            <w:r w:rsidRPr="00703A77">
              <w:rPr>
                <w:szCs w:val="30"/>
              </w:rPr>
              <w:t xml:space="preserve">Нет, </w:t>
            </w:r>
            <w:r w:rsidR="002A624E" w:rsidRPr="00703A77">
              <w:rPr>
                <w:szCs w:val="30"/>
              </w:rPr>
              <w:t xml:space="preserve">указывать </w:t>
            </w:r>
            <w:r w:rsidRPr="00703A77">
              <w:rPr>
                <w:szCs w:val="30"/>
              </w:rPr>
              <w:t xml:space="preserve">идентификационный номер нет необходимости. </w:t>
            </w:r>
            <w:proofErr w:type="gramStart"/>
            <w:r w:rsidRPr="00703A77">
              <w:rPr>
                <w:szCs w:val="30"/>
              </w:rPr>
              <w:t>В соответствии со статьей 5 Закона Республики Беларусь «О защите персональных данных» субъект персональных данных при даче согласия оператору</w:t>
            </w:r>
            <w:r w:rsidR="00782E07">
              <w:rPr>
                <w:szCs w:val="30"/>
              </w:rPr>
              <w:t xml:space="preserve">, коим является учреждение образования, </w:t>
            </w:r>
            <w:r w:rsidRPr="00703A77">
              <w:rPr>
                <w:szCs w:val="30"/>
              </w:rPr>
              <w:t xml:space="preserve"> указывает свои фамилию, собственное имя, отчество (если таковое имеется), дату рождения, идентификационный номер, а в сл</w:t>
            </w:r>
            <w:r w:rsidR="002A624E">
              <w:rPr>
                <w:szCs w:val="30"/>
              </w:rPr>
              <w:t xml:space="preserve">учае отсутствия такого номера  – </w:t>
            </w:r>
            <w:r w:rsidRPr="00703A77">
              <w:rPr>
                <w:szCs w:val="30"/>
              </w:rPr>
              <w:t xml:space="preserve">номер документа, </w:t>
            </w:r>
            <w:r w:rsidRPr="00703A77">
              <w:rPr>
                <w:szCs w:val="30"/>
              </w:rPr>
              <w:lastRenderedPageBreak/>
              <w:t>удостоверяющего его</w:t>
            </w:r>
            <w:r w:rsidR="002A624E">
              <w:rPr>
                <w:szCs w:val="30"/>
              </w:rPr>
              <w:t xml:space="preserve"> личность, за исключением случаев</w:t>
            </w:r>
            <w:r w:rsidR="003A17D5">
              <w:rPr>
                <w:szCs w:val="30"/>
              </w:rPr>
              <w:t xml:space="preserve">, предусмотренных частью второй </w:t>
            </w:r>
            <w:r w:rsidRPr="00703A77">
              <w:rPr>
                <w:szCs w:val="30"/>
              </w:rPr>
              <w:t>пункта</w:t>
            </w:r>
            <w:r w:rsidR="003A17D5">
              <w:rPr>
                <w:szCs w:val="30"/>
              </w:rPr>
              <w:t xml:space="preserve"> 6 данной статьи</w:t>
            </w:r>
            <w:r w:rsidRPr="00703A77">
              <w:rPr>
                <w:szCs w:val="30"/>
              </w:rPr>
              <w:t>.</w:t>
            </w:r>
            <w:proofErr w:type="gramEnd"/>
          </w:p>
          <w:p w:rsidR="001713DD" w:rsidRDefault="00703A77" w:rsidP="003A17D5">
            <w:pPr>
              <w:jc w:val="both"/>
            </w:pPr>
            <w:r w:rsidRPr="00703A77">
              <w:rPr>
                <w:szCs w:val="30"/>
              </w:rPr>
              <w:t>Если цели обработки персональных данных не требуют обработки информации, указанной в части первой пункта</w:t>
            </w:r>
            <w:r w:rsidR="003A17D5">
              <w:rPr>
                <w:szCs w:val="30"/>
              </w:rPr>
              <w:t xml:space="preserve"> 6 настоящей статьи</w:t>
            </w:r>
            <w:r w:rsidRPr="00703A77">
              <w:rPr>
                <w:szCs w:val="30"/>
              </w:rPr>
              <w:t>, эта информация не подлежит обработке оператором при получении согласия субъекта персональных данных.</w:t>
            </w:r>
          </w:p>
        </w:tc>
      </w:tr>
      <w:tr w:rsidR="001713DD" w:rsidTr="00FE401B">
        <w:tc>
          <w:tcPr>
            <w:tcW w:w="817" w:type="dxa"/>
          </w:tcPr>
          <w:p w:rsidR="001713DD" w:rsidRDefault="001713DD" w:rsidP="00E3079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371" w:type="dxa"/>
          </w:tcPr>
          <w:p w:rsidR="001713DD" w:rsidRDefault="00F13B5E" w:rsidP="0052608C">
            <w:pPr>
              <w:jc w:val="both"/>
            </w:pPr>
            <w:r>
              <w:t>Совпадают сроки проведения психосоциального анкетирования</w:t>
            </w:r>
            <w:r w:rsidR="00782E07">
              <w:t xml:space="preserve"> (далее – ПСА)</w:t>
            </w:r>
            <w:r>
              <w:t xml:space="preserve"> и изучения суицидальных рисков у несовершеннолетних, что увеличивает время обработки при большом количестве учащихся.</w:t>
            </w:r>
          </w:p>
        </w:tc>
        <w:tc>
          <w:tcPr>
            <w:tcW w:w="6598" w:type="dxa"/>
          </w:tcPr>
          <w:p w:rsidR="00DB6F9F" w:rsidRDefault="00ED0DD9" w:rsidP="00782E07">
            <w:pPr>
              <w:jc w:val="both"/>
            </w:pPr>
            <w:r>
              <w:t>Необходимо</w:t>
            </w:r>
            <w:r w:rsidR="00E31EFD">
              <w:t xml:space="preserve"> и</w:t>
            </w:r>
            <w:r w:rsidR="00782E07">
              <w:t>спользовать рациональный подход к распределению обязанностей  между педагогами</w:t>
            </w:r>
            <w:r w:rsidR="00E31EFD">
              <w:t xml:space="preserve"> проведению ПСА, диагностики кризисных состояний несовершеннолетних</w:t>
            </w:r>
            <w:r>
              <w:t>, использовать имеющийся ресурс педагогического коллектива, учитывать сроки, указанные в методических рекомендациях</w:t>
            </w:r>
            <w:r w:rsidR="00782E07">
              <w:t>.</w:t>
            </w:r>
            <w:r w:rsidR="007E2CBF">
              <w:t xml:space="preserve"> </w:t>
            </w:r>
            <w:r w:rsidR="0092705B">
              <w:t xml:space="preserve">К примеру, </w:t>
            </w:r>
            <w:r w:rsidR="00782E07">
              <w:t xml:space="preserve"> провести</w:t>
            </w:r>
          </w:p>
          <w:p w:rsidR="001713DD" w:rsidRDefault="0092705B" w:rsidP="00782E07">
            <w:pPr>
              <w:jc w:val="both"/>
            </w:pPr>
            <w:r>
              <w:t xml:space="preserve"> ПСА может педагог социальный, классный руководитель, куратор учебной группы. </w:t>
            </w:r>
            <w:proofErr w:type="gramStart"/>
            <w:r>
              <w:t xml:space="preserve">Рекомендуемый период проведения диагностики риска </w:t>
            </w:r>
            <w:proofErr w:type="spellStart"/>
            <w:r>
              <w:t>суицидоопасного</w:t>
            </w:r>
            <w:proofErr w:type="spellEnd"/>
            <w:r>
              <w:t xml:space="preserve"> поведения у обучающихся – до 1 декабря (приложение 5 к инструктивно-методическому письму «Особенности организации социальной, </w:t>
            </w:r>
            <w:r w:rsidR="00F61FA8">
              <w:t>воспитательной и идеологической работы в учреждениях общего среднего образования в 2022/2023 учебном году</w:t>
            </w:r>
            <w:r>
              <w:t>»)</w:t>
            </w:r>
            <w:r w:rsidR="00F61FA8">
              <w:t>.</w:t>
            </w:r>
            <w:r>
              <w:t xml:space="preserve"> </w:t>
            </w:r>
            <w:proofErr w:type="gramEnd"/>
          </w:p>
        </w:tc>
      </w:tr>
    </w:tbl>
    <w:p w:rsidR="001713DD" w:rsidRDefault="001713DD" w:rsidP="0052608C">
      <w:pPr>
        <w:jc w:val="both"/>
      </w:pPr>
    </w:p>
    <w:sectPr w:rsidR="001713DD" w:rsidSect="004D66C9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9E" w:rsidRDefault="00771F9E" w:rsidP="00B23A4F">
      <w:r>
        <w:separator/>
      </w:r>
    </w:p>
  </w:endnote>
  <w:endnote w:type="continuationSeparator" w:id="0">
    <w:p w:rsidR="00771F9E" w:rsidRDefault="00771F9E" w:rsidP="00B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9E" w:rsidRDefault="00771F9E" w:rsidP="00B23A4F">
      <w:r>
        <w:separator/>
      </w:r>
    </w:p>
  </w:footnote>
  <w:footnote w:type="continuationSeparator" w:id="0">
    <w:p w:rsidR="00771F9E" w:rsidRDefault="00771F9E" w:rsidP="00B2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84453"/>
      <w:docPartObj>
        <w:docPartGallery w:val="Page Numbers (Top of Page)"/>
        <w:docPartUnique/>
      </w:docPartObj>
    </w:sdtPr>
    <w:sdtEndPr/>
    <w:sdtContent>
      <w:p w:rsidR="004D66C9" w:rsidRDefault="004D66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1B">
          <w:rPr>
            <w:noProof/>
          </w:rPr>
          <w:t>2</w:t>
        </w:r>
        <w:r>
          <w:fldChar w:fldCharType="end"/>
        </w:r>
      </w:p>
    </w:sdtContent>
  </w:sdt>
  <w:p w:rsidR="004D66C9" w:rsidRDefault="004D66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60"/>
    <w:multiLevelType w:val="hybridMultilevel"/>
    <w:tmpl w:val="071A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81C"/>
    <w:multiLevelType w:val="hybridMultilevel"/>
    <w:tmpl w:val="153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7F6F"/>
    <w:multiLevelType w:val="hybridMultilevel"/>
    <w:tmpl w:val="1E0A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06714"/>
    <w:multiLevelType w:val="hybridMultilevel"/>
    <w:tmpl w:val="1E0A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E11EF"/>
    <w:multiLevelType w:val="hybridMultilevel"/>
    <w:tmpl w:val="153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3"/>
    <w:rsid w:val="00005928"/>
    <w:rsid w:val="00005DB3"/>
    <w:rsid w:val="00031BB1"/>
    <w:rsid w:val="000C0943"/>
    <w:rsid w:val="000F752E"/>
    <w:rsid w:val="00143039"/>
    <w:rsid w:val="001548D3"/>
    <w:rsid w:val="001713DD"/>
    <w:rsid w:val="0017594C"/>
    <w:rsid w:val="002255FC"/>
    <w:rsid w:val="002341D4"/>
    <w:rsid w:val="00274EBA"/>
    <w:rsid w:val="002A624E"/>
    <w:rsid w:val="002B2531"/>
    <w:rsid w:val="002C5C85"/>
    <w:rsid w:val="002F26EC"/>
    <w:rsid w:val="00310F4C"/>
    <w:rsid w:val="0033262C"/>
    <w:rsid w:val="00355B9D"/>
    <w:rsid w:val="00382A9B"/>
    <w:rsid w:val="003A17D5"/>
    <w:rsid w:val="003B20EE"/>
    <w:rsid w:val="003B5C12"/>
    <w:rsid w:val="003D5ACE"/>
    <w:rsid w:val="00434DDA"/>
    <w:rsid w:val="004717D1"/>
    <w:rsid w:val="004B0671"/>
    <w:rsid w:val="004D66C9"/>
    <w:rsid w:val="0052608C"/>
    <w:rsid w:val="00555A1A"/>
    <w:rsid w:val="005724AF"/>
    <w:rsid w:val="00572789"/>
    <w:rsid w:val="00634B51"/>
    <w:rsid w:val="006C68C1"/>
    <w:rsid w:val="006E1F71"/>
    <w:rsid w:val="006E5118"/>
    <w:rsid w:val="00703A77"/>
    <w:rsid w:val="00723814"/>
    <w:rsid w:val="00771F9E"/>
    <w:rsid w:val="00782E07"/>
    <w:rsid w:val="0078388E"/>
    <w:rsid w:val="007E2CBF"/>
    <w:rsid w:val="007F4E59"/>
    <w:rsid w:val="00804182"/>
    <w:rsid w:val="00816209"/>
    <w:rsid w:val="00863B8C"/>
    <w:rsid w:val="008A0871"/>
    <w:rsid w:val="008A492B"/>
    <w:rsid w:val="00907676"/>
    <w:rsid w:val="0092705B"/>
    <w:rsid w:val="00941748"/>
    <w:rsid w:val="009553A5"/>
    <w:rsid w:val="00993ED3"/>
    <w:rsid w:val="00A944ED"/>
    <w:rsid w:val="00A96C7D"/>
    <w:rsid w:val="00AA5C74"/>
    <w:rsid w:val="00AF775E"/>
    <w:rsid w:val="00B23A4F"/>
    <w:rsid w:val="00B44D6E"/>
    <w:rsid w:val="00B54DDA"/>
    <w:rsid w:val="00BA1F0A"/>
    <w:rsid w:val="00BC5D05"/>
    <w:rsid w:val="00BD7019"/>
    <w:rsid w:val="00C336A9"/>
    <w:rsid w:val="00C34893"/>
    <w:rsid w:val="00CD19C1"/>
    <w:rsid w:val="00CD70FF"/>
    <w:rsid w:val="00CF058C"/>
    <w:rsid w:val="00D24F5A"/>
    <w:rsid w:val="00D32578"/>
    <w:rsid w:val="00D75C76"/>
    <w:rsid w:val="00D814AC"/>
    <w:rsid w:val="00D947F0"/>
    <w:rsid w:val="00DA0CDC"/>
    <w:rsid w:val="00DB6F9F"/>
    <w:rsid w:val="00DB762F"/>
    <w:rsid w:val="00DC612F"/>
    <w:rsid w:val="00E129F5"/>
    <w:rsid w:val="00E22CA9"/>
    <w:rsid w:val="00E30792"/>
    <w:rsid w:val="00E31EFD"/>
    <w:rsid w:val="00E63F44"/>
    <w:rsid w:val="00E708DC"/>
    <w:rsid w:val="00E72A66"/>
    <w:rsid w:val="00ED0DD9"/>
    <w:rsid w:val="00EF0D6A"/>
    <w:rsid w:val="00F13B5E"/>
    <w:rsid w:val="00F60606"/>
    <w:rsid w:val="00F61FA8"/>
    <w:rsid w:val="00F767D6"/>
    <w:rsid w:val="00F8504B"/>
    <w:rsid w:val="00FA3300"/>
    <w:rsid w:val="00FB2CDC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CE"/>
    <w:pPr>
      <w:ind w:left="720"/>
      <w:contextualSpacing/>
    </w:pPr>
  </w:style>
  <w:style w:type="paragraph" w:customStyle="1" w:styleId="article">
    <w:name w:val="article"/>
    <w:basedOn w:val="a"/>
    <w:rsid w:val="00941748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4174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A4F"/>
  </w:style>
  <w:style w:type="paragraph" w:styleId="a9">
    <w:name w:val="footer"/>
    <w:basedOn w:val="a"/>
    <w:link w:val="aa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CE"/>
    <w:pPr>
      <w:ind w:left="720"/>
      <w:contextualSpacing/>
    </w:pPr>
  </w:style>
  <w:style w:type="paragraph" w:customStyle="1" w:styleId="article">
    <w:name w:val="article"/>
    <w:basedOn w:val="a"/>
    <w:rsid w:val="00941748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4174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A4F"/>
  </w:style>
  <w:style w:type="paragraph" w:styleId="a9">
    <w:name w:val="footer"/>
    <w:basedOn w:val="a"/>
    <w:link w:val="aa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E016-F89A-4175-A201-499528C6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2023-04-18T11:36:00Z</cp:lastPrinted>
  <dcterms:created xsi:type="dcterms:W3CDTF">2023-05-05T05:15:00Z</dcterms:created>
  <dcterms:modified xsi:type="dcterms:W3CDTF">2023-05-05T06:30:00Z</dcterms:modified>
</cp:coreProperties>
</file>